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04:26 МСК · База обновлена: 22.07.2026, 10:23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68 лет госпитализирована в отделение торакальной хирургии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постоянные выраженные боли в правой половине грудной клетки, сухой кашель и одышку при быстрой ходьбе.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Заболела 4 месяца назад, когда появились упомянутые жалобы. Обратилась в поликлинику к участковому терапевту. Была выполнена рентгенография легких, на которой обнаружено затенение в правой плевральной полости. Симптоматическое лечение успеха не имело. Была осмотрена фтизиатром, данных за специфическую патологию не обнаружено и пациентка направлен на консультацию к торакальному хирургу. Госпитализирована в отделение торакальной хирургии для обследования.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страдает эндометриозом, лечится у гинеколога;</w:t>
      </w:r>
    </w:p>
    <w:p>
      <w:pPr>
        <w:spacing w:after="58"/>
      </w:pPr>
      <w:r>
        <w:rPr>
          <w:b w:val="0"/>
          <w:i w:val="0"/>
        </w:rPr>
        <w:t>* не курит;</w:t>
      </w:r>
    </w:p>
    <w:p>
      <w:pPr>
        <w:spacing w:after="58"/>
      </w:pPr>
      <w:r>
        <w:rPr>
          <w:b w:val="0"/>
          <w:i w:val="0"/>
        </w:rPr>
        <w:t>* в течение 15 лет работала на предприятии по  изготовлению шифера;</w:t>
      </w:r>
    </w:p>
    <w:p>
      <w:pPr>
        <w:spacing w:after="58"/>
      </w:pPr>
      <w:r>
        <w:rPr>
          <w:b w:val="0"/>
          <w:i w:val="0"/>
        </w:rPr>
        <w:t>* аллергическая реакция на пенициллин в виде крапивницы;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164 см, масса тела 78 кг. Кожный покров обычной окраски и влажности. Периферические лимф. узлы не увеличены. При перкуссии справа под углом лопатки звук отчетливо укорочен. При аускультации – в нижних отделах правого легкого дыхание не проводится; хрипы сухие непостоянные слева. ЧДД 26 в 1 мин. Тоны сердца ритмичные, ЧСС 86 в 1 мин, АД 150/70 мм рт. ст. Живот мягкий, безболезненный. Печень и селезенка не увеличены.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После удаления 600 мл экссудата (геморрагического) для уточнения диагноза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перфузионной сцинтиграфии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позитронно-эмиссионной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ультразвукового исследования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компьютерной томографии ОГК и ОБП с внутривенным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компьютерной томографии ОГК и ОБП с внутривенным контрастированием</w:t>
      </w:r>
    </w:p>
    <w:p>
      <w:pPr>
        <w:ind w:left="504"/>
      </w:pPr>
      <w:r>
        <w:rPr>
          <w:b w:val="0"/>
          <w:i/>
        </w:rPr>
        <w:t>Рекомендуется всем пациентам с подозрением на мезотелиому плевры/брюшины или других локализаций выполнить компьютерную томографию (КТ) органов грудной полости и брюшной полости с внутривенным болюсным контрастированием с целью определения распространенности опухолевого процесса, дифференциального диагноза, а также в процессе лечения для оценки эффективности проводимой терапии.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определения распространения болезни в грудной клетке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радионуклидного исследования с галлием67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ультрасонографии средостения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линейной (послойной) томографии средостения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магнитно-резонансной томографии</w:t>
      </w:r>
    </w:p>
    <w:p>
      <w:pPr>
        <w:ind w:left="504"/>
      </w:pPr>
      <w:r>
        <w:rPr>
          <w:b w:val="0"/>
          <w:i/>
        </w:rPr>
        <w:t>Магнитно-резонансная томография с контрастированием  является методом уточняющей диагностики при оценке местного распространения опухоли. КТ органов грудной полости с в/в болюсным контрастированием и МРТ органов грудной клетки с в/в контрастированием играют важную роль в оценке распространенности опухоли по диафрагме, средостению, верхней части грудной клетки. При неинвазивной стадии очень трудно провести различия между Т1 и Т2.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Исследование экссудата плевры не уточнило природу заболевания, поэтому для верификации диагноза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диагностическая торакоскопия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повторная пункция плевральной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пункционная биопсия плевры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трепан-биопсия плевры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диагностическая торакоскопия</w:t>
      </w:r>
    </w:p>
    <w:p>
      <w:pPr>
        <w:ind w:left="504"/>
      </w:pPr>
      <w:r>
        <w:rPr>
          <w:b w:val="0"/>
          <w:i/>
        </w:rPr>
        <w:t>Диагностическая торакоскопия является наиболее важным методом диагностики, позволяющим получить необходимое количество материала для последующего патолого-анатомического исследования биопсийного (операционного) материала с применением иммуногистохимических методов и визуально оценить характер изменений по плевре.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окончательной верификации диагноза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нейронспецифической энолазы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крови на антигены вируса SV 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раково-эмбрионального антигена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иммуногистохимическое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иммуногистохимическое исследование</w:t>
      </w:r>
    </w:p>
    <w:p>
      <w:pPr>
        <w:ind w:left="504"/>
      </w:pPr>
      <w:r>
        <w:rPr>
          <w:b w:val="0"/>
          <w:i/>
        </w:rPr>
        <w:t>Рекомендуется при выявлении поражения плевры выполнить торакоскопию с биопсией или при поражении брюшины – диагностическую лапароскопию с биопсией с обязательным патолого-анатомическим исследованием биопсийного (операционного) материала с применением иммуногистохимических методов (ИГХ) для морфологического подтверждения диагноза, определения гистотипа опухоли и выработки адекватной стратегии лечения.</w:t>
        <w:br/>
        <w:br/>
        <w:t>Для мезотелиомы характерно наличие ряда маркеров. Позитивные маркеры: кальретинин, антиген WT-1, виментин, мезотелин, D2-40, негативные маркеры:TTF-1, клаудин-4, РЭА.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МРТ грудной клетки выявила увеличение бронхо-пульмональных лимфатических узлов в области нижней и средней доли (все визуализируемые лимфатические узлы диаметром от 1.2 до 1.4 см). У пациента диагностирована Мезотелиома плевры T3N1M0, что соответствует +_____+ стадии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IIIB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IIIA</w:t>
      </w:r>
    </w:p>
    <w:p>
      <w:pPr>
        <w:ind w:left="504"/>
      </w:pPr>
      <w:r>
        <w:rPr>
          <w:b w:val="0"/>
          <w:i/>
        </w:rPr>
        <w:t>Для определения стадии заболевания используется классификация, предложенная Международной группой по изучению мезотелиомы (IMIG) (AJCC, 8-е изд. – 2017 г.). Стадирование по TNM применимо только к мезотелиоме плевры. Несмотря на то, что выпот в плевральной полости при МП встречается у 40–70% пациентов, при стадировании наличие плеврита не учитывается.</w:t>
        <w:br/>
        <w:br/>
        <w:t>Т3 – опухоль локально распространенная, но потенциально резектабельная, прорастает любую поверхность париетальной плевры на стороне поражения. Присутствует одна из следующих характеристик:</w:t>
        <w:br/>
        <w:br/>
        <w:t>* инвазия во внутригрудную фасцию;</w:t>
        <w:br/>
        <w:t>* инвазия в жировую ткань средостения;</w:t>
        <w:br/>
        <w:t>* единичный опухолевый узел, прорастающий в мягкие ткани грудной клетки;</w:t>
        <w:br/>
        <w:t>* поражение перикарда, но без прорастания на всю толщу.</w:t>
        <w:br/>
        <w:br/>
        <w:t>N1 – метастазы в бронхопульмональных лимфатических узлах (узле) и/или лимфатических узлах (узле) корня легкого на стороне поражения, медиастинальных лимфатических узлах, включая парастернальные, околодиафрагмальные, перикардиальной клетчатки и интеркостальные на стороне поражения;</w:t>
        <w:br/>
        <w:br/>
        <w:t>T3N1M0 соответствует IIIA стадии.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Одним из важных критериев отбора на операцию, является удовлетворительный функциональный статус, соответствующий +_____+ баллам по шкале ECOG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0-1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0-1</w:t>
      </w:r>
    </w:p>
    <w:p>
      <w:pPr>
        <w:ind w:left="504"/>
      </w:pPr>
      <w:r>
        <w:rPr>
          <w:b w:val="0"/>
          <w:i/>
        </w:rPr>
        <w:t>Пациентам с мезотелиомой плевры и удовлетворительным функциональным статусом рекомендуется плеврэктомия при любой стадии болезни для купирования постоянного накопления жидкости в плевральной полости, как этап при мультимодальном лечении для достижения максимального лечебного противоопухолевого эффекта и улучшения качества жизни.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Основным объёмом хирургического вмешательства по поводу мезотелиомы плевры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париетальная плеврэктомия с декортикацией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пневмонэктомия с париетальной плеврэктомией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расширенная лобэктомия с резекцией париетальной плевры и ребер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экстраплевральная пневмонэктомия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экстраплевральная пневмонэктомия</w:t>
      </w:r>
    </w:p>
    <w:p>
      <w:pPr>
        <w:ind w:left="504"/>
      </w:pPr>
      <w:r>
        <w:rPr>
          <w:b w:val="0"/>
          <w:i/>
        </w:rPr>
        <w:t>Рекомендуется пациентам с ранними стадиями эпителиоидной мезотелиомы плевры I-IIIA (без N2) проведение экстраплевральной пневмонэктомии (далее – ЭПП) с резекцией перикарда и диафрагмы или без нее, которая считается более оптимальной с онкологической точки зрения, хотя и сопряжена с большим числом осложнений и послеоперационной смертности – до 7%.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Лучевая терапия в лечении мезотелиомы плевры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рекомендуется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рекомендуется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рекомендуется как самостоятельный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рекомендуется в предоперационном периоде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рекомендуется после операции</w:t>
      </w:r>
    </w:p>
    <w:p>
      <w:pPr>
        <w:ind w:left="504"/>
      </w:pPr>
      <w:r>
        <w:rPr>
          <w:b w:val="0"/>
          <w:i/>
        </w:rPr>
        <w:t>Послеоперационная ДЛТ возможна у пациентов с ECOG 0–1, с адекватно сохраненной легочной функцией, при которой пациент не нуждается в кислородотерапии, без признаков почечной недостаточности, при отсутствии отдаленных метастазов.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Лучевая терапия после пульмонэктомии (при отсутствии опухолевых клеток в краях резекции) проводится в суммарной дозе _____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50</w:t>
      </w:r>
    </w:p>
    <w:p>
      <w:pPr>
        <w:ind w:left="504"/>
      </w:pPr>
      <w:r>
        <w:rPr>
          <w:b w:val="0"/>
          <w:i/>
        </w:rPr>
        <w:t>После пульмонэктомии (при отсутствии опухолевых клеток в краях резекции) ЛТ проводится: СОД 45–54 Гр, РОД 1,8–2 Гр, в течение 5–6 недель.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Лучевая терапия с паллиативной (обезболивающей) целью проводится в суммарной дозе +______+ Грэй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44-50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50-70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42-44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20-40</w:t>
      </w:r>
    </w:p>
    <w:p>
      <w:pPr>
        <w:ind w:left="504"/>
      </w:pPr>
      <w:r>
        <w:rPr>
          <w:b w:val="0"/>
          <w:i/>
        </w:rPr>
        <w:t>С обезболивающей целью на грудную клетку СОД 20–40 Гр, РОД 3–4 Гр, в течение 1–2 недель.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Химиотерапевтическое лечение при мезотелиоме плевры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используется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показано неоперабельным больным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показано в предоперационном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показано после радикальной операции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показано неоперабельным больным</w:t>
      </w:r>
    </w:p>
    <w:p>
      <w:pPr>
        <w:ind w:left="504"/>
      </w:pPr>
      <w:r>
        <w:rPr>
          <w:b w:val="0"/>
          <w:i/>
        </w:rPr>
        <w:t>При невозможности выполнения оперативного вмешательства при ранней стадии, смешанном или саркоматоидном подтипе и при распространенном опухолевом процессе (IIIB–IV стадии для мезотелиомы плевры) применяется лекарственное лечение.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Оптимальная схема первой линии химиотерапии мезотелиомы плевры включает цисплатин (карбоплатин)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пеметрексед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винкристин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циклофосфамид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этопозид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пеметрексед</w:t>
      </w:r>
    </w:p>
    <w:p>
      <w:pPr>
        <w:ind w:left="504"/>
      </w:pPr>
      <w:r>
        <w:rPr>
          <w:b w:val="0"/>
          <w:i/>
        </w:rPr>
        <w:t>Оптимальный режим лекарственного лечения 1-й линии: пеметрексед + цисплатин (или карбоплатин).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 Н. 47 лет обратилась к хирургу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утомляемость, периодические боли за грудиной при приеме твердой пищи, а так же затрудненное прохождение твердой пищи при глотании в течение последних 2-х  месяцев, потеряла в весе 7 кг за последние 4 месяца, тошноту, периодическую рвоту только что съеденной пищей.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отмечает появление чувства дискомфорта за грудиной при приеме твердой пищи в течение последних 2-х месяцев, за последний месяц отметила затрудненное прохождение твердой пищи по пищеводу, в настоящее время проходит только жидкая и полужидкая пища. К врачу не обращалась. Похудела на 7 кг за последние 4 месяца. В настоящее время отмечает нарастание симптомов, появление непостоянных болей за грудиной давящего характера. Со слов, не курит, крепкие спиртные напитки не употребляет. В 24 года перенесла ожог пищевода уксусной эссенцией.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24 летнем возрасте перенесла химический ожог пищевода;</w:t>
        <w:br/>
        <w:t>* Не курит, крепкий алкоголь не употребляет;</w:t>
        <w:br/>
        <w:t>* Почтальон. Профессиональных вредностей не имеет;</w:t>
        <w:br/>
        <w:t>* Аллергические реакции не отмечает.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Вес 57 кг, рост 163 см. Температура тела 36,8 °С.</w:t>
        <w:br/>
        <w:t>Кожные покровы и видимые слизистые физиологической окраски, тургор не снижен. Аускультативно дыхание в легких проводится во все отделы, хрипов над всей поверхностью легких нет. ЧДД 16 в мин. Тоны сердца ясные, ритмичные, АД 115/65 мм.рт.ст, PS - 72 в мин. Живот мягкий, безболезненный при пальпации во всех отделах. Перитонеальных симптомов нет. Аускультативно перистальтика ясная. Со слов, стул регулярный, физиологичной окраски. Мочеиспускание свободное.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коагулограмма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биохимический анализ крови; 3 — общий анализ крови</w:t>
      </w:r>
    </w:p>
    <w:p>
      <w:pPr>
        <w:ind w:left="504"/>
      </w:pPr>
      <w:r>
        <w:rPr>
          <w:b w:val="0"/>
          <w:i/>
        </w:rPr>
        <w:t>Опухоли активно потребляют аминокислоты, так как необходимы для синтеза белка, являющегося строительным материалом для формирования новых клеток, из-за этого уровень общего белка и альбумина в крови снижаются. Недостаточное питание из-за дисфагии при водит к меньшему поступлению белка в организм, что приводит к нарастанию белковой недостаточности.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Анемия у пациента раком пищевода является следствием хронической кровопотери и недостаточного поступления железа из-за нарушения питания.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эзофагогастродуоденоскопия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ПЭТ-КТ всего тела с 18-ФДГ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КТ органов грудной клетки и брюшной полости с в / в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R-логическое исследование пищевода с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эзофагогастродуоденоскопия с биопсией</w:t>
      </w:r>
    </w:p>
    <w:p>
      <w:pPr>
        <w:ind w:left="504"/>
      </w:pPr>
      <w:r>
        <w:rPr>
          <w:b w:val="0"/>
          <w:i/>
        </w:rPr>
        <w:t>ЭГДС – наиболее информативный метод исследования при раке пищевода, позволяющий непосредственно визуализировать опухоль, определить ее размеры, локализацию и макроскопический тип, оценить угрозу осложнений (кровотечение, перфорация), а также получить материал для патологоанатомического исследования.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Данной пациентке на основании результатов клинико-лабораторных и инструментальных методов обследования можно поставить клинический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Сдавливание пищевода извне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 нижне-грудного отдела пищевода сT2N1M0, II стадия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Лимфома нижней трети пищевода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Рубцовая стриктура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Рак нижне-грудного отдела пищевода сT2N1M0, II стадия</w:t>
      </w:r>
    </w:p>
    <w:p>
      <w:pPr>
        <w:ind w:left="504"/>
      </w:pPr>
      <w:r>
        <w:rPr>
          <w:b w:val="0"/>
          <w:i/>
        </w:rPr>
        <w:t>* Результат эзофагогастродуоденоскопии, при которой определяется стенозирующая опухоль пищевода</w:t>
        <w:br/>
        <w:t>* Результаты морфологического исследования биопсии</w:t>
        <w:br/>
        <w:t>* КТ данные за объемное образование нижней трети пищевода</w:t>
        <w:br/>
        <w:br/>
        <w:t>Классификация Американского противоракового комитета (AJCC) 8Ed – 2017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пациентки дисфагия +_____+ стадии по классификации проф. А.И. Савицкого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</w:t>
      </w:r>
    </w:p>
    <w:p>
      <w:pPr>
        <w:ind w:left="504"/>
      </w:pPr>
      <w:r>
        <w:rPr>
          <w:b w:val="0"/>
          <w:i/>
        </w:rPr>
        <w:t>Классификация дисфагии, предложенная профессором А.И. Савицким:</w:t>
        <w:br/>
        <w:br/>
        <w:t>I стадия – затруднение при глотании твердой пищи,</w:t>
        <w:br/>
        <w:br/>
        <w:t>II стадия – затруднение при глотании кашицеобразной пищи,</w:t>
        <w:br/>
        <w:br/>
        <w:t>III стадия – затруднение при глотании жидкости,</w:t>
        <w:br/>
        <w:br/>
        <w:t>IV стадия – полная непроходимость.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раке пищевода наиболее частым гистологическим вариантом опухоли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мелкоклеточный рак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плоскоклеточный рак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карциносаркома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аденокарцинома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плоскоклеточный рак</w:t>
      </w:r>
    </w:p>
    <w:p>
      <w:pPr>
        <w:ind w:left="504"/>
      </w:pPr>
      <w:r>
        <w:rPr>
          <w:b w:val="0"/>
          <w:i/>
        </w:rPr>
        <w:t>Наиболее частой морфологической формой в России является плоскоклеточный рак, реже аденокарцинома (в основном, в дистальной части пищевода и пищеводно-желудочном переходе). Крайне редко встречаются карциносаркома, мелкоклеточный рак и меланома.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Данной пациентке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паллиативной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предоперационной ХЛТ + 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самостоятельной ХЛТ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предоперационной ХЛТ + хирургическое лечение</w:t>
      </w:r>
    </w:p>
    <w:p>
      <w:pPr>
        <w:ind w:left="504"/>
      </w:pPr>
      <w:r>
        <w:rPr>
          <w:b w:val="0"/>
          <w:i/>
        </w:rPr>
        <w:t>При IIВ-III стадиях рака пищевода (сТ2N0M0 высокого риска (наличие лимфоваскулярной инвазии, размер опухоли свыше 3-5 см, 3 степень злокачественности), сТ3-4N0-3M0, сТ1-2N1-3M0) рекомендуется сочетание хирургического лечения с лекарственной и/или химиолучевой терапией: предоперационная химиолучевая терапия или предоперационная химиотерапия (при плоскоклеточном раке), периоперационная химиотерапия (при аденокарциноме) либо самостоятельная химиолучевая терапия (при противопоказаниях к хирургическому лечению, при опухолях шейного отдела пищевода) для улучшения результатов лечения и выживаемости пациентов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Оптимальным режимом неоадъювантной ХЛТ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паклитаксел + карбоплатин еженедельно, 5 введений + ДЛТ до СОД 41-50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курса цисплатин + ДЛТ СОД 60 Гр + 3 курса цисплатин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курса химиотерапии 5-ФУ +  ДЛТ СОД 30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введение ежедневно паклитаксел/карбоплатин + ДЛТ СОД 20 Гр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паклитаксел + карбоплатин еженедельно, 5 введений + ДЛТ до СОД 41-50 Гр</w:t>
      </w:r>
    </w:p>
    <w:p>
      <w:pPr>
        <w:ind w:left="504"/>
      </w:pPr>
      <w:r>
        <w:rPr>
          <w:b w:val="0"/>
          <w:i/>
        </w:rPr>
        <w:t>Оптимальной является 3D-конформная дистанционная лучевая терапия на линейных ускорителях с энергией 6–18 МЭВ с РОД 1,8–2 Гр и СОД – до 41,4-50 Гр [35]. Одновременно с облучением проводится химиотерапия c режимами с включением препаратов платины, паклитаксела или фторурацила (еженедельный режим  паклитаксел + карбоплатин), FOLFOX, цисплатин + фторурацил). По данным исследования CROSS предпочтительным режимом предоперационной терапии является еженедельное введение паклитаксела 50 мг/м2 в/в и карбоплатина в дозе AUC2 в/в на фоне 5 недель лучевой терапии (СОД 41, Гр, РОД 1,8 Гр в неделю).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Рак пищевода, инфильтрирующий стенку органа до мышечного слоя включительно при отсутствии регионарных и отдаленных метастазов по TNM Классификации Американского противоракового комитета (AJCC) 8Ed – 2017 соответствует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T2N1M0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T1N0M0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T2N0M0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T3N0M0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T2N0M0</w:t>
      </w:r>
    </w:p>
    <w:p>
      <w:pPr>
        <w:ind w:left="504"/>
      </w:pPr>
      <w:r>
        <w:rPr>
          <w:b w:val="0"/>
          <w:i/>
        </w:rPr>
        <w:t>Классификации Американского противоракового комитета (AJCC) 8Ed – 2017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течение первого года после окончания комбинированного/комплексного лечения контрольное обследование следует проводить с периодичностью 1 раз в _____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2-2.5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7.5-9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3-6</w:t>
      </w:r>
    </w:p>
    <w:p>
      <w:pPr>
        <w:ind w:left="504"/>
      </w:pPr>
      <w:r>
        <w:rPr>
          <w:b w:val="0"/>
          <w:i/>
        </w:rPr>
        <w:t>Пациентов после радикального лечения (хирургия или химиолучевая терапия) – каждые 3-6 месяцев в первые 2 года, далее каждые 6-12 месяцев в последующие 3-5 лет, затем – ежегодно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Фактором негативного прогноза у пациентов при раке пищевода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выраженная потеря массы до начала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 периневральной инвазии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дифференцировка опухоли G2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опухолевых клеток в крае резекции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наличие опухолевых клеток в крае резекции</w:t>
      </w:r>
    </w:p>
    <w:p>
      <w:pPr>
        <w:ind w:left="504"/>
      </w:pPr>
      <w:r>
        <w:rPr>
          <w:b w:val="0"/>
          <w:i/>
        </w:rPr>
        <w:t>Факторы негативного прогноза:</w:t>
        <w:br/>
        <w:br/>
        <w:t>* дифференцировка ≥G3;</w:t>
        <w:br/>
        <w:t>* наличие опухолевых клеток в краях резекции;</w:t>
        <w:br/>
        <w:t>* лимфатическая, сосудистая или периневральная инвазия;</w:t>
        <w:br/>
        <w:t>* уровень инвазии (вовлечение подслизистого слоя стенки пищевода), &gt;pT1sm1.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Основным видом оперативного вмешательства при раке пищевода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операция Льюиса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экстирпация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операция Уиппла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операция Бильрот 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операция Льюиса</w:t>
      </w:r>
    </w:p>
    <w:p>
      <w:pPr>
        <w:ind w:left="504"/>
      </w:pPr>
      <w:r>
        <w:rPr>
          <w:b w:val="0"/>
          <w:i/>
        </w:rPr>
        <w:t>Основным видом операции при раке нижне-грудного отдела пищевода является субтотальная резекция пищевода с одномоментной внутриплевральной пластикой стеблем желудка или сегментом толстой кишки с билатеральной двухзональной медиастинальной лимфодиссекцией из комбинированного лапаротомного и правостороннего торакотомного доступов (операция типа Льюиса) с формированием анастомоза в апертуре правой плевральной полости выше уровня v. azygos. При локализации опухоли выше уровня бифуркации трахеи рекомендовано выполнение экстирпации пищевода с формированием анастомоза на шее.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выявлении метастазов рака пищевода в шейно-надключичных лимфатических узлах после ранее проведенного радикального лечения, в первую очередь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симптоматическое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таргетную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химиолучевую терапию</w:t>
      </w:r>
    </w:p>
    <w:p>
      <w:pPr>
        <w:ind w:left="504"/>
      </w:pPr>
      <w:r>
        <w:rPr>
          <w:b w:val="0"/>
          <w:i/>
        </w:rPr>
        <w:t>При метастазах в надключичных лимфатических узлах терапией выбора также является самостоятельная химиолучевая терапия. У отдельных пациентов с изолированным поражением надключичных лимфатических узлов может быть рассмотрен вопрос о хирургическом лечении после предоперационной химиолучевой терапии. Поражение чревных лимфатических узлов также не является противопоказанием к проведению химиолучевой терапии с последующим решением вопроса об оперативном лечении.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Рак пищевода и кардии, 2024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497_2/" TargetMode="External"/><Relationship Id="rId21" Type="http://schemas.openxmlformats.org/officeDocument/2006/relationships/hyperlink" Target="https://library.mededtech.ru/rest/documents/KP497_2/#list_item_l7npg8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497_2/#paragraph_7ke8ov" TargetMode="External"/><Relationship Id="rId24" Type="http://schemas.openxmlformats.org/officeDocument/2006/relationships/hyperlink" Target="https://library.mededtech.ru/rest/documents/KP497_2/#paragraph_n4b5hl" TargetMode="External"/><Relationship Id="rId25" Type="http://schemas.openxmlformats.org/officeDocument/2006/relationships/hyperlink" Target="https://library.mededtech.ru/rest/documents/KP497_2/#list_item_0943kt" TargetMode="External"/><Relationship Id="rId26" Type="http://schemas.openxmlformats.org/officeDocument/2006/relationships/hyperlink" Target="https://library.mededtech.ru/rest/documents/KP497_2/#paragraph_4k6021" TargetMode="External"/><Relationship Id="rId27" Type="http://schemas.openxmlformats.org/officeDocument/2006/relationships/hyperlink" Target="https://library.mededtech.ru/rest/documents/KP497_2/#list_item_ep56em" TargetMode="External"/><Relationship Id="rId28" Type="http://schemas.openxmlformats.org/officeDocument/2006/relationships/hyperlink" Target="https://library.mededtech.ru/rest/documents/KP497_2/#list_item_j3gj2u" TargetMode="External"/><Relationship Id="rId29" Type="http://schemas.openxmlformats.org/officeDocument/2006/relationships/image" Target="media/image6.png"/><Relationship Id="rId30" Type="http://schemas.openxmlformats.org/officeDocument/2006/relationships/hyperlink" Target="https://library.mededtech.ru/rest/documents/KP497_2/#paragraph_33idpq" TargetMode="External"/><Relationship Id="rId31" Type="http://schemas.openxmlformats.org/officeDocument/2006/relationships/hyperlink" Target="https://library.mededtech.ru/rest/documents/KP497_2/#tab2" TargetMode="External"/><Relationship Id="rId32" Type="http://schemas.openxmlformats.org/officeDocument/2006/relationships/hyperlink" Target="https://library.mededtech.ru/rest/documents/KP497_2/#paragraph_u1ma1f" TargetMode="External"/><Relationship Id="rId33" Type="http://schemas.openxmlformats.org/officeDocument/2006/relationships/hyperlink" Target="https://library.mededtech.ru/rest/documents/KP497_2/#list_item_l924o3" TargetMode="External"/><Relationship Id="rId34" Type="http://schemas.openxmlformats.org/officeDocument/2006/relationships/hyperlink" Target="https://library.mededtech.ru/rest/documents/KP497_2/#tab3" TargetMode="External"/><Relationship Id="rId35" Type="http://schemas.openxmlformats.org/officeDocument/2006/relationships/image" Target="media/image7.png"/><Relationship Id="rId36" Type="http://schemas.openxmlformats.org/officeDocument/2006/relationships/hyperlink" Target="https://library.mededtech.ru/rest/documents/KP237_24/" TargetMode="External"/><Relationship Id="rId37" Type="http://schemas.openxmlformats.org/officeDocument/2006/relationships/hyperlink" Target="https://library.mededtech.ru/rest/documents/KP237_24/#list_item_t5op25" TargetMode="External"/><Relationship Id="rId38" Type="http://schemas.openxmlformats.org/officeDocument/2006/relationships/hyperlink" Target="https://library.mededtech.ru/rest/documents/KP237_24/#list_item_ag3ura" TargetMode="External"/><Relationship Id="rId39" Type="http://schemas.openxmlformats.org/officeDocument/2006/relationships/hyperlink" Target="https://library.mededtech.ru/rest/documents/KP237_24/#1_5_2_tnm_&#1082;&#1083;&#1072;&#1089;&#1089;&#1080;&#1092;&#1080;&#1082;&#1072;&#1094;&#1080;&#1103;_&#1040;&#1084;&#1077;&#1088;&#1080;&#1082;&#1072;&#1085;&#1089;&#1082;&#1086;&#1075;&#1086;_&#1087;&#1088;&#1086;&#1090;&#1080;&#1074;&#1086;&#1088;&#1072;&#1082;&#1086;&#1074;&#1086;&#1075;&#1086;_&#1082;&#1086;&#1084;&#1080;&#1090;&#1077;&#1090;&#1072;_ajcc_8ed_2017_a_href_l10_10_a" TargetMode="External"/><Relationship Id="rId40" Type="http://schemas.openxmlformats.org/officeDocument/2006/relationships/hyperlink" Target="https://library.mededtech.ru/rest/documents/KP237_24/#paragraph_q4fb6c" TargetMode="External"/><Relationship Id="rId41" Type="http://schemas.openxmlformats.org/officeDocument/2006/relationships/hyperlink" Target="https://library.mededtech.ru/rest/documents/KP237_24/#paragraph_p58id8" TargetMode="External"/><Relationship Id="rId42" Type="http://schemas.openxmlformats.org/officeDocument/2006/relationships/hyperlink" Target="https://library.mededtech.ru/rest/documents/KP237_24/#list_item_v1gj1k" TargetMode="External"/><Relationship Id="rId43" Type="http://schemas.openxmlformats.org/officeDocument/2006/relationships/hyperlink" Target="https://library.mededtech.ru/rest/documents/KP237_24/#tab11" TargetMode="External"/><Relationship Id="rId44" Type="http://schemas.openxmlformats.org/officeDocument/2006/relationships/hyperlink" Target="https://library.mededtech.ru/rest/documents/KP237_24/#paragraph_o8tv9t" TargetMode="External"/><Relationship Id="rId45" Type="http://schemas.openxmlformats.org/officeDocument/2006/relationships/hyperlink" Target="https://library.mededtech.ru/rest/documents/KP237_24/#tab4" TargetMode="External"/><Relationship Id="rId46" Type="http://schemas.openxmlformats.org/officeDocument/2006/relationships/hyperlink" Target="https://library.mededtech.ru/rest/documents/KP237_24/#list_item_cp1jkb" TargetMode="External"/><Relationship Id="rId47" Type="http://schemas.openxmlformats.org/officeDocument/2006/relationships/hyperlink" Target="https://library.mededtech.ru/rest/documents/KP237_24/#paragraph_7ekil4" TargetMode="External"/><Relationship Id="rId48" Type="http://schemas.openxmlformats.org/officeDocument/2006/relationships/hyperlink" Target="https://library.mededtech.ru/rest/documents/KP237_24/#paragraph_uamuir" TargetMode="External"/><Relationship Id="rId49" Type="http://schemas.openxmlformats.org/officeDocument/2006/relationships/hyperlink" Target="https://library.mededtech.ru/rest/documents/KP237_24/#paragraph_3rdfq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